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86A66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420" w:lineRule="atLeast"/>
        <w:ind w:left="0" w:right="0"/>
        <w:jc w:val="both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</w:t>
      </w:r>
    </w:p>
    <w:p w14:paraId="3454DB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</w:pPr>
      <w:r>
        <w:rPr>
          <w:rFonts w:hint="eastAsia"/>
          <w:b/>
          <w:bCs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年度优秀学术著作推荐资助出版项目推荐名单</w:t>
      </w:r>
    </w:p>
    <w:tbl>
      <w:tblPr>
        <w:tblStyle w:val="3"/>
        <w:tblpPr w:leftFromText="180" w:rightFromText="180" w:vertAnchor="text" w:horzAnchor="page" w:tblpXSpec="center" w:tblpY="28"/>
        <w:tblOverlap w:val="never"/>
        <w:tblW w:w="104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736"/>
        <w:gridCol w:w="5793"/>
        <w:gridCol w:w="1138"/>
      </w:tblGrid>
      <w:tr w14:paraId="1FBBC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8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推荐排序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9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</w:t>
            </w:r>
          </w:p>
          <w:p w14:paraId="25F5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2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书稿名称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A9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作者</w:t>
            </w:r>
          </w:p>
          <w:p w14:paraId="20BEE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</w:tr>
      <w:tr w14:paraId="5930D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250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2C9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政治与公共管理学院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9C916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瑶族史诗《密洛陀》的口头诗学研究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1FF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覃琮</w:t>
            </w:r>
          </w:p>
        </w:tc>
      </w:tr>
      <w:tr w14:paraId="75F39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D7B6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C4C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4F4E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两宋院体花鸟画的中华美学精神研究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40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孙洁</w:t>
            </w:r>
          </w:p>
        </w:tc>
      </w:tr>
      <w:tr w14:paraId="13AA6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F2E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AA0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9774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居住的田野：家的设计人类学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D5A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杨丽文</w:t>
            </w:r>
          </w:p>
        </w:tc>
      </w:tr>
      <w:tr w14:paraId="0A44D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975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954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4655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新技术环境下公共文化机构孤儿作品利用国际比较及中国方案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0A2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吴高</w:t>
            </w:r>
          </w:p>
        </w:tc>
      </w:tr>
      <w:tr w14:paraId="7CC9E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5E4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D62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44AA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二战后英国小说中的疾病书写研究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1A7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丁礼明</w:t>
            </w:r>
          </w:p>
        </w:tc>
      </w:tr>
      <w:tr w14:paraId="5518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BBE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960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文学院/国际中文教育学院/新闻与传播学院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2E1E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在场的回响：中国近代出版评论发展史论略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D9BF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曾建辉</w:t>
            </w:r>
          </w:p>
        </w:tc>
      </w:tr>
      <w:tr w14:paraId="1C4D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F68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BF9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DBB5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新媒体公共话语空间：特征、互动与引导路径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D17E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吴布林</w:t>
            </w:r>
          </w:p>
        </w:tc>
      </w:tr>
      <w:tr w14:paraId="08398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4072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48F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国际文化教育学院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E3B8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越南隐性语言政策及其对国际中文教育的可能影响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52DB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孟凡璧</w:t>
            </w:r>
          </w:p>
        </w:tc>
      </w:tr>
      <w:tr w14:paraId="56C17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D7034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33A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文学院/国际中文教育学院/新闻与传播学院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45C0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周边出版与周边工作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6B3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魏文楷</w:t>
            </w:r>
          </w:p>
        </w:tc>
      </w:tr>
      <w:tr w14:paraId="67B56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AD931C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EC70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政治与公共管理学院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E9FCE7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社交媒体时代我国福利舆情的突变演化机理与防控对策研究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095E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汤茜草</w:t>
            </w:r>
          </w:p>
        </w:tc>
      </w:tr>
    </w:tbl>
    <w:p w14:paraId="71259521"/>
    <w:p w14:paraId="22E23690"/>
    <w:p w14:paraId="05ADD4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DE9969-D858-4CD6-B0F3-E96F54027B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FA1C538-12C9-41D3-8E8D-B1ADF027276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529A098-C904-4B41-8C9D-CC1808234C4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B387A41-E2E9-495A-A765-2FC5CBE961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34BC2"/>
    <w:rsid w:val="0A073390"/>
    <w:rsid w:val="2AC36334"/>
    <w:rsid w:val="32A34BC2"/>
    <w:rsid w:val="3CCC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350</Characters>
  <Lines>0</Lines>
  <Paragraphs>0</Paragraphs>
  <TotalTime>45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2025-10-09T06:18:00Z</dcterms:created>
  <dc:creator>梨</dc:creator>
  <cp:lastModifiedBy>蒋志秀</cp:lastModifiedBy>
  <dcterms:modified xsi:type="dcterms:W3CDTF">2026-09-08T02:25:57Z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46C425AA2EAA42BCAB5AF8B3F0D32A08_13</vt:lpwstr>
  </property>
  <property fmtid="{D5CDD505-2E9C-101B-9397-08002B2CF9AE}" pid="4" name="KSOTemplateDocerSaveRecord">
    <vt:lpwstr>eyJoZGlkIjoiYmMwYjIxMzNkZWNiMmNiZmFmODBiNTAxNDFlMjQ2OWIiLCJ1c2VySWQiOiIxOTg5ODMyNzAifQ==</vt:lpwstr>
  </property>
</Properties>
</file>