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widowControl w:val="0"/>
        <w:spacing w:line="560" w:lineRule="exact"/>
        <w:rPr>
          <w:rFonts w:ascii="Times New Roman" w:eastAsia="黑体" w:hAnsi="Times New Roman" w:cs="Times New Roman" w:hint="default"/>
          <w:sz w:val="32"/>
          <w:szCs w:val="32"/>
        </w:rPr>
      </w:pPr>
      <w:r>
        <w:rPr>
          <w:rFonts w:ascii="Times New Roman" w:eastAsia="黑体" w:hAnsi="Times New Roman" w:cs="Times New Roman" w:hint="default"/>
          <w:sz w:val="32"/>
          <w:szCs w:val="32"/>
        </w:rPr>
        <w:t>附件4</w:t>
      </w:r>
    </w:p>
    <w:p>
      <w:pPr>
        <w:pStyle w:val="Title"/>
        <w:rPr>
          <w:rFonts w:hint="default"/>
        </w:rPr>
      </w:pP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国家艺术基金（一般项目）</w:t>
      </w:r>
      <w:r>
        <w:rPr>
          <w:rFonts w:ascii="Times New Roman" w:eastAsia="方正小标宋简体" w:hAnsi="Times New Roman" w:cs="Times New Roman" w:hint="default"/>
          <w:sz w:val="44"/>
          <w:szCs w:val="44"/>
          <w:lang w:eastAsia="zh-CN"/>
        </w:rPr>
        <w:t>202</w:t>
      </w:r>
      <w:r>
        <w:rPr>
          <w:rFonts w:ascii="Times New Roman" w:eastAsia="方正小标宋简体" w:hAnsi="Times New Roman" w:cs="Times New Roman" w:hint="eastAsia"/>
          <w:sz w:val="44"/>
          <w:szCs w:val="44"/>
          <w:lang w:val="en-US" w:eastAsia="zh-CN"/>
        </w:rPr>
        <w:t>6</w:t>
      </w:r>
      <w:r>
        <w:rPr>
          <w:rFonts w:ascii="Times New Roman" w:eastAsia="方正小标宋简体" w:hAnsi="Times New Roman" w:cs="Times New Roman" w:hint="default"/>
          <w:sz w:val="44"/>
          <w:szCs w:val="44"/>
        </w:rPr>
        <w:t>年度</w:t>
      </w: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艺术人才培训资助项目申报指南</w:t>
      </w:r>
    </w:p>
    <w:p>
      <w:pPr>
        <w:widowControl w:val="0"/>
        <w:spacing w:line="560" w:lineRule="exact"/>
        <w:rPr>
          <w:rFonts w:ascii="Times New Roman" w:eastAsia="仿宋_GB2312" w:hAnsi="Times New Roman" w:hint="default"/>
          <w:sz w:val="32"/>
          <w:szCs w:val="32"/>
        </w:rPr>
      </w:pP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国家艺术基金面向社会受理艺术人才培训资助项目的申报，组织专家评审，确定资助项目和资助额度，并实施监管。</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根据《国家艺术基金章程》《中央专项彩票公益金支持国家艺术基金项目资金管理办法》，结合《国家艺术基金项目资助管理办法》《国家艺术基金资助项目经费管理办法》等文件，制定本指南。</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一、资助要求</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持以人民为中心的工作导向，坚持出成果和出人才相结合、抓作品和抓环境相贯通，尊重人才成长规律，以建设规模宏大、结构合理、锐意创新的高水平文化人才队伍为目标的培训项目。</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二、资助范围</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本项目资助舞台艺术、绘画、雕塑、书法、篆刻、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（一）项目设计要遵循高层次、小批量原则，体现灵活性、多样化特点，鼓励艺术经验的直接传授、理论与实践的结合，以及围绕具体创作任务出作品、出人才。</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观念、方法和实践开展评论的人才；“高端艺术人才国外研修计划”重在与国外艺术机构、单位合作开展培训活动，选派、支持优秀艺术人才赴国外艺术团体和经营机构学习实践，提升专业技能，提高推广交流和经营管理能力。</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三、申请额度</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国家艺术基金依据申报项目的培训类别、学员数量、授课时长等因素，同时参考项目申报主体制定的项目预算核定资助资金。</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四、资助方式</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国家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（二）对具备实施条件的资助项目，国家艺术基金将先期拨付资助资金总额的50%作为启动经费；项目开班经中期监督合格后，拨付资助资金总额的30%；项目完成并验收合格后，拨付剩余20%的资助资金。</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（三）项目经费支付按照国库集中支付有关制度规定执行。</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以下简称“管理中心”）备案。</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五）承担项目的机构或单位应保证培训时间，短期培训原则上培训时间应不少于2个月，不超过6个月，且集中培训时间应不少于1个月；中长期培训原则上培训时间应不少于1年，且集中培训时间应不少于6个月；“高端艺术人才国外研修计划”安排在国外学习实践时间应不少于2个月。培训可依据具体项目的特点和人才培养要求分批次、分地域进行。</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五、申报条件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（一）本项目的项目申报主体为机构或单位（不含性质为机关法人的单位），其应同时具备以下条件：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1.2022年4月15日前在中华人民共和国内地（大陆）同级行政机关登记、注册的机构或单位，在香港特别行政区、澳门特别行政区依法进行商业登记、公司注册或社团登记注册的机构或单位。</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2.具备完善的管理制度，与实施项目相匹配的教学实践资源、师资力量和设施条件，能够提供详实、可行的培训方案。鼓励艺术创作单位与艺术教育科研单位合作开展项目。</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（二）已获得国家艺术基金立项资助的项目，未能在《国家艺术基金资助项目协议书》规定的实施周期内提交结项验收或终止申请的，其项目主体不能再获得同一项目类型的资助。</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六、申报数量</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同一项目申报主体申报艺术人才培训资助项目不超过5项。</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七、申报时间</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本项目从2025年4月15日起开始申报，至6月15日截止申报。管理中心在申报期内受理项目申报，并提供相关咨询服务，逾期不予受理。</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八、申报程序</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（一）项目申报主体在规定的申报受理期内，通过国家艺术基金网站 （http://www.cnaf.cn），登录“国家艺术基金资助项目管理系统”，按要求填写《国家艺术基金（一般项目）2026年度艺术人才培训资助项目申报表》，上传申报材料。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（二）管理中心自申请截止之日起30日内，完成对申报项目的审核。符合相关规定的予以受理；不符合相关规定的，不予受理并通知项目申报主体。</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（三）对项目申报主体提交的申报材料，管理中心按规定管理，并根据工作需要使用。</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九、申报材料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（一）《国家艺术基金（一般项目）2026年度艺术人才培训资助项目申报表》。</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（二）内地（大陆）项目申报主体须提供同级行政主管部门颁发的登记、注册证书和统一社会信用代码证书；港澳特区项目申报主体须提供商业登记证书、公司注册证书或社团注册证明书等资质证明文件。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（三）上一年度财务报表（资产负债表、利润表或收入支出决算表）和本年度1月份社会保险个人权益记录（单位缴费信息）。</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（四）申报项目已经获得或正在申请其他财政性资金、基金支持以及第三方资助的，须提供相应的批准文件或申报材料。</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（五）开展艺术人才培训项目的工作方案、完整课程安排、全部授课教师简介，以及与授课教师签署的协议。</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（六）申报项目涉及国外培训活动的，须提交与国外合作机构的合作协议。</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（七）申报材料应于2025年6月15日前通过网络提交，管理中心不接受纸质申报材料。作为附件上传的辅助材料，图片应采用扫描的方式形成，视频应完整清晰，可识别度高。</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十、签约实施</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确定申报项目为立项资助项目后，管理中心将与项目申报主体签订《国家艺术基金资助项目协议书》。《国家艺术基金（一般项目）2026年度艺术人才培训资助项目申报表》作为协议书附件，具有同等约束力。</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十一、监督验收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（一）资助项目应于2027年6月30日前提交完整的成果材料，参加结项验收。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（二）管理中心将按照《国家艺术基金资助项目监督管理办法》，对资助项目实施情况进行监督，并组织专家对资助项目进行结项验收。</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（三）项目主体应加强对授课内容的管理，录制全部课程的完整视频。</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（四）项目主体要保证申报项目在申报及后续实施过程中均不侵犯任何第三方的著作权及其他合法权益。如有侵犯，项目主体依法承担全部责任。</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1.项目主体在项目实施过程中，侵犯任何第三方的著作权及其他合法权益；</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2.项目实施内容、经费支出、结项成果等与《国家艺术基金资助项目协议书》的约定存在重大差异；</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3.项目主体存在其他弄虚作假、挪用资助资金、违反《国家艺术基金项目资助管理办法》《国家艺术基金资助项目经费管理办法》等情形；</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4.项目主体有其他严重违法违纪行为。</w:t>
      </w:r>
    </w:p>
    <w:p>
      <w:pPr>
        <w:widowControl w:val="0"/>
        <w:spacing w:line="560" w:lineRule="exact"/>
        <w:ind w:firstLine="420" w:firstLineChars="200"/>
        <w:rPr>
          <w:rFonts w:ascii="Times New Roman" w:eastAsia="仿宋_GB2312" w:hAnsi="Times New Roman" w:hint="default"/>
          <w:sz w:val="32"/>
          <w:szCs w:val="32"/>
        </w:rPr>
      </w:pPr>
      <w:r>
        <w:rPr>
          <w:rFonts w:ascii="黑体" w:eastAsia="黑体" w:hAnsi="黑体" w:cs="黑体" w:hint="eastAsia"/>
          <w:sz w:val="32"/>
          <w:szCs w:val="32"/>
        </w:rPr>
        <w:t>十二、其他</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（一）资助项目在实施过程中，应在相关场所和材料显著位置标注“彩票公益金资助——中国福利彩票和中国体育彩票”和“国家艺术基金资助”标识。</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（二）国家艺术基金对项目主体在项目申报、实施过程中与第三方产生的纠纷不承担任何责任。</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（三）管理中心对本指南拥有最终解释权。</w:t>
      </w:r>
    </w:p>
    <w:p>
      <w:pPr>
        <w:widowControl w:val="0"/>
        <w:spacing w:line="560" w:lineRule="exact"/>
        <w:ind w:firstLine="420" w:firstLineChars="200"/>
        <w:rPr>
          <w:rFonts w:ascii="Times New Roman" w:eastAsia="仿宋_GB2312" w:hAnsi="Times New Roman" w:hint="default"/>
          <w:sz w:val="32"/>
          <w:szCs w:val="32"/>
        </w:rPr>
      </w:pPr>
      <w:r>
        <w:rPr>
          <w:rFonts w:ascii="Times New Roman" w:eastAsia="仿宋_GB2312" w:hAnsi="Times New Roman" w:hint="default"/>
          <w:sz w:val="32"/>
          <w:szCs w:val="32"/>
        </w:rPr>
        <w:t xml:space="preserve">（四）本指南自发布之日起实施。 </w:t>
      </w:r>
    </w:p>
    <w:p>
      <w:bookmarkStart w:id="0" w:name="_GoBack"/>
      <w:bookmarkEnd w:id="0"/>
    </w:p>
    <w:sectPr>
      <w:headerReference w:type="default" r:id="rId5"/>
      <w:pgSz w:w="11906" w:h="16838"/>
      <w:pgMar w:top="1440" w:right="1800" w:bottom="1440" w:left="1800" w:header="851" w:footer="992"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49" type="#_x0000_t202" style="height:0;margin-left:0;margin-top:0;mso-position-horizontal-relative:page;mso-position-vertical-relative:page;position:absolute;width:0;z-index:251658240" filled="f" stroked="f">
          <v:path strokeok="f" textboxrect="0,0,21600,21600"/>
          <v:textbox>
            <w:txbxContent>
              <w:p>
                <w:r>
                  <w:t>ImpTraceLabel=PD94bWwgdmVyc2lvbj0nMS4wJyBlbmNvZGluZz0nVVRGLTgnPz48dHJhY2U+PGNvbnRlbnQ+PC9jb250ZW50PjxhY2NvdW50PnljcThiZmh2NWUwaWZuMHN6NDg0ZzY8L2FjY291bnQ+PG1hY2hpbmVDb2RlPkszODkyODIxMjE3NzcKPC9tYWNoaW5lQ29kZT48dGltZT4yMDI1LTA0LTI0IDE3OjU4OjE3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suppressAutoHyphens/>
      <w:bidi w:val="0"/>
      <w:jc w:val="both"/>
    </w:pPr>
    <w:rPr>
      <w:rFonts w:ascii="Calibri" w:eastAsia="宋体" w:hAnsi="Calibri" w:cs="Times New Roman"/>
      <w:color w:val="auto"/>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Title">
    <w:name w:val="Title"/>
    <w:basedOn w:val="Normal"/>
    <w:next w:val="Normal"/>
    <w:uiPriority w:val="10"/>
    <w:qFormat/>
    <w:pPr>
      <w:spacing w:before="240" w:after="60"/>
      <w:jc w:val="center"/>
      <w:outlineLvl w:val="0"/>
    </w:pPr>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文宁</dc:creator>
  <cp:lastModifiedBy>文宁</cp:lastModifiedBy>
  <cp:revision>1</cp:revision>
  <dcterms:created xsi:type="dcterms:W3CDTF">2025-04-23T10:46:00Z</dcterms:created>
  <dcterms:modified xsi:type="dcterms:W3CDTF">2025-04-23T10:49:38Z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